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jc w:val="center"/>
        <w:tblInd w:w="-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C763EC" w:rsidRPr="00C763EC" w:rsidTr="00C763EC">
        <w:trPr>
          <w:cantSplit/>
          <w:trHeight w:val="360"/>
          <w:jc w:val="center"/>
        </w:trPr>
        <w:tc>
          <w:tcPr>
            <w:tcW w:w="10004" w:type="dxa"/>
            <w:shd w:val="clear" w:color="auto" w:fill="auto"/>
          </w:tcPr>
          <w:p w:rsidR="00C763EC" w:rsidRPr="00C763EC" w:rsidRDefault="00C763EC" w:rsidP="00C763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763E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8F0C10" wp14:editId="35CE7E5B">
                  <wp:extent cx="500380" cy="6038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3EC" w:rsidRPr="00C763EC" w:rsidTr="00C763EC">
        <w:trPr>
          <w:cantSplit/>
          <w:trHeight w:val="853"/>
          <w:jc w:val="center"/>
        </w:trPr>
        <w:tc>
          <w:tcPr>
            <w:tcW w:w="10004" w:type="dxa"/>
            <w:shd w:val="clear" w:color="auto" w:fill="auto"/>
          </w:tcPr>
          <w:p w:rsidR="00C763EC" w:rsidRPr="00C763EC" w:rsidRDefault="00C763EC" w:rsidP="00C763EC">
            <w:pPr>
              <w:pStyle w:val="3"/>
              <w:rPr>
                <w:sz w:val="28"/>
              </w:rPr>
            </w:pPr>
            <w:r w:rsidRPr="00C763EC">
              <w:rPr>
                <w:sz w:val="28"/>
              </w:rPr>
              <w:t>АДМИНИСТРАЦИЯ МУНИЦИПАЛЬНОГО ОБРАЗОВАНИЯ</w:t>
            </w:r>
          </w:p>
          <w:p w:rsidR="00C763EC" w:rsidRPr="00C763EC" w:rsidRDefault="00C763EC" w:rsidP="00C763EC">
            <w:pPr>
              <w:pStyle w:val="3"/>
            </w:pPr>
            <w:r w:rsidRPr="00C763EC">
              <w:rPr>
                <w:sz w:val="28"/>
              </w:rPr>
              <w:t>СТАРОМУКМЕНЕВСКИЙ СЕЛЬСОВЕТ</w:t>
            </w:r>
          </w:p>
          <w:p w:rsidR="00C763EC" w:rsidRPr="00C763EC" w:rsidRDefault="00C763EC" w:rsidP="00C763EC">
            <w:pPr>
              <w:pStyle w:val="21"/>
            </w:pPr>
            <w:r w:rsidRPr="00C763EC">
              <w:t>АСЕКЕЕВСКОГО РАЙОНА ОРЕНБУРГСКОЙ ОБЛАСТИ</w:t>
            </w:r>
          </w:p>
          <w:p w:rsidR="00C763EC" w:rsidRPr="00C763EC" w:rsidRDefault="00C763EC" w:rsidP="00C763EC">
            <w:pPr>
              <w:pStyle w:val="21"/>
            </w:pPr>
          </w:p>
          <w:p w:rsidR="00C763EC" w:rsidRPr="00C763EC" w:rsidRDefault="00C763EC" w:rsidP="00C763EC">
            <w:pPr>
              <w:pStyle w:val="4"/>
              <w:spacing w:line="360" w:lineRule="auto"/>
              <w:ind w:left="31" w:hanging="31"/>
              <w:rPr>
                <w:sz w:val="32"/>
                <w:szCs w:val="32"/>
              </w:rPr>
            </w:pPr>
            <w:r w:rsidRPr="00C763EC">
              <w:rPr>
                <w:sz w:val="32"/>
                <w:szCs w:val="32"/>
              </w:rPr>
              <w:t>ПОСТАНОВЛЕНИЕ</w:t>
            </w:r>
          </w:p>
          <w:p w:rsidR="00C763EC" w:rsidRPr="00C763EC" w:rsidRDefault="00C763EC" w:rsidP="00C76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63E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F0437" wp14:editId="52E19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4765" t="31115" r="22860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" strokeweight="1.23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:rsidR="00C763EC" w:rsidRPr="00C763EC" w:rsidRDefault="00570896" w:rsidP="00C763E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.2021                              </w:t>
      </w:r>
      <w:r w:rsidR="00C763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>таромукменево</w:t>
      </w:r>
      <w:proofErr w:type="spellEnd"/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3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763E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="00C763EC" w:rsidRPr="00C763EC">
        <w:rPr>
          <w:rFonts w:ascii="Times New Roman" w:hAnsi="Times New Roman" w:cs="Times New Roman"/>
          <w:b/>
          <w:bCs/>
          <w:sz w:val="24"/>
          <w:szCs w:val="24"/>
        </w:rPr>
        <w:t xml:space="preserve"> -п</w:t>
      </w:r>
    </w:p>
    <w:p w:rsidR="00C763EC" w:rsidRPr="00C763EC" w:rsidRDefault="00C763EC" w:rsidP="00C763EC">
      <w:pPr>
        <w:shd w:val="clear" w:color="auto" w:fill="FFFFFF"/>
        <w:spacing w:before="302"/>
        <w:jc w:val="center"/>
        <w:rPr>
          <w:rFonts w:ascii="Times New Roman" w:hAnsi="Times New Roman" w:cs="Times New Roman"/>
        </w:rPr>
      </w:pPr>
    </w:p>
    <w:p w:rsidR="00C763EC" w:rsidRPr="00C763EC" w:rsidRDefault="00C763EC" w:rsidP="00C763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E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763E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Pr="00C763E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</w:t>
      </w:r>
      <w:proofErr w:type="gramEnd"/>
    </w:p>
    <w:p w:rsidR="00C763EC" w:rsidRPr="00992059" w:rsidRDefault="00992059" w:rsidP="00992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Предоставлению </w:t>
      </w:r>
      <w:r w:rsidR="00C763EC" w:rsidRPr="00C763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C763EC" w:rsidRPr="00C7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«Присвоение, изменение и аннулирование адресов объектов адресации»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63EC" w:rsidRPr="00C763EC">
        <w:rPr>
          <w:rFonts w:ascii="Times New Roman" w:hAnsi="Times New Roman" w:cs="Times New Roman"/>
          <w:b/>
          <w:bCs/>
          <w:sz w:val="28"/>
          <w:szCs w:val="28"/>
        </w:rPr>
        <w:t>Старомукменевского сельсовета</w:t>
      </w:r>
      <w:r w:rsidR="00C763EC">
        <w:rPr>
          <w:rFonts w:ascii="Times New Roman" w:hAnsi="Times New Roman" w:cs="Times New Roman"/>
          <w:b/>
          <w:bCs/>
          <w:sz w:val="28"/>
          <w:szCs w:val="28"/>
        </w:rPr>
        <w:t xml:space="preserve"> Асекеевского района Оренбургской области</w:t>
      </w:r>
    </w:p>
    <w:p w:rsidR="00C763EC" w:rsidRPr="00C763EC" w:rsidRDefault="00C763EC" w:rsidP="00C763EC">
      <w:pPr>
        <w:shd w:val="clear" w:color="auto" w:fill="FFFFFF"/>
        <w:spacing w:after="0"/>
        <w:ind w:left="86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3EC" w:rsidRPr="00C763EC" w:rsidRDefault="00C763EC" w:rsidP="00C76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 xml:space="preserve">    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Устава муниципального образования Старомукменевский сельсовет  Асекеевского района Оренбургской области  постановляю:</w:t>
      </w:r>
    </w:p>
    <w:p w:rsidR="00C763EC" w:rsidRPr="00C763EC" w:rsidRDefault="00C763EC" w:rsidP="00C76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>1.</w:t>
      </w:r>
      <w:r w:rsidR="00570896">
        <w:rPr>
          <w:rFonts w:ascii="Times New Roman" w:hAnsi="Times New Roman" w:cs="Times New Roman"/>
          <w:sz w:val="28"/>
          <w:szCs w:val="28"/>
        </w:rPr>
        <w:t xml:space="preserve">   </w:t>
      </w:r>
      <w:r w:rsidRPr="00C763E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</w:t>
      </w:r>
      <w:r w:rsidRPr="00C763E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Pr="00C763EC">
        <w:rPr>
          <w:rFonts w:ascii="Times New Roman" w:hAnsi="Times New Roman" w:cs="Times New Roman"/>
          <w:bCs/>
          <w:sz w:val="28"/>
          <w:szCs w:val="28"/>
        </w:rPr>
        <w:t xml:space="preserve">  муниципальной услуги «Присвоение, изменение и аннулирование адресов объектов адресации Старомукменевского сельсовета</w:t>
      </w:r>
      <w:r w:rsidRPr="00C763EC">
        <w:rPr>
          <w:rFonts w:ascii="Times New Roman" w:hAnsi="Times New Roman" w:cs="Times New Roman"/>
          <w:sz w:val="28"/>
          <w:szCs w:val="28"/>
        </w:rPr>
        <w:t xml:space="preserve">   согласно приложению.</w:t>
      </w:r>
    </w:p>
    <w:p w:rsidR="00C763EC" w:rsidRPr="00C763EC" w:rsidRDefault="00C763EC" w:rsidP="00C763E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№27-п от 01.11.2012</w:t>
      </w:r>
      <w:r w:rsidR="00570896" w:rsidRPr="00C763EC">
        <w:rPr>
          <w:rFonts w:ascii="Times New Roman" w:hAnsi="Times New Roman" w:cs="Times New Roman"/>
          <w:sz w:val="28"/>
          <w:szCs w:val="28"/>
        </w:rPr>
        <w:t>. О</w:t>
      </w:r>
      <w:r w:rsidRPr="00C763E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763EC"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административного регламента по</w:t>
      </w:r>
      <w:r w:rsidRPr="00C763EC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Pr="00C763EC">
        <w:rPr>
          <w:rFonts w:ascii="Times New Roman" w:hAnsi="Times New Roman" w:cs="Times New Roman"/>
          <w:bCs/>
          <w:sz w:val="28"/>
          <w:szCs w:val="28"/>
        </w:rPr>
        <w:t xml:space="preserve">  муниципальной услуги «Присвоение (уточнение) адресов объектам недвижимого имущества Старомукменевского сельсовета».</w:t>
      </w:r>
    </w:p>
    <w:p w:rsidR="00C763EC" w:rsidRPr="00C763EC" w:rsidRDefault="00C763EC" w:rsidP="00C763EC">
      <w:pPr>
        <w:spacing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6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3E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763EC" w:rsidRPr="00C763EC" w:rsidRDefault="00C763EC" w:rsidP="00C763E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после обнародования.</w:t>
      </w:r>
    </w:p>
    <w:p w:rsidR="00C763EC" w:rsidRDefault="00C763EC" w:rsidP="00C763EC">
      <w:pPr>
        <w:ind w:right="-1"/>
        <w:jc w:val="both"/>
        <w:rPr>
          <w:sz w:val="28"/>
          <w:szCs w:val="28"/>
        </w:rPr>
      </w:pPr>
    </w:p>
    <w:p w:rsidR="00C763EC" w:rsidRDefault="00C763EC" w:rsidP="00C763E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63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63EC" w:rsidRPr="00C763EC" w:rsidRDefault="00C763EC" w:rsidP="00C763E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Старомукменевский сельсовет:</w:t>
      </w:r>
      <w:r w:rsidRPr="00C763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  <w:r w:rsidRPr="00C763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63EC" w:rsidRDefault="00C763EC" w:rsidP="00C763EC">
      <w:pPr>
        <w:rPr>
          <w:sz w:val="28"/>
          <w:szCs w:val="28"/>
        </w:rPr>
      </w:pPr>
    </w:p>
    <w:p w:rsidR="00C763EC" w:rsidRDefault="00C763EC" w:rsidP="00C763EC">
      <w:pPr>
        <w:rPr>
          <w:sz w:val="20"/>
          <w:szCs w:val="20"/>
        </w:rPr>
      </w:pPr>
      <w:r w:rsidRPr="00C763EC">
        <w:rPr>
          <w:sz w:val="20"/>
          <w:szCs w:val="20"/>
        </w:rPr>
        <w:t>Раз</w:t>
      </w:r>
      <w:r>
        <w:rPr>
          <w:sz w:val="20"/>
          <w:szCs w:val="20"/>
        </w:rPr>
        <w:t>ослано: в дело, прокурору района.</w:t>
      </w:r>
    </w:p>
    <w:p w:rsidR="00992059" w:rsidRPr="00C763EC" w:rsidRDefault="00992059" w:rsidP="00C763EC">
      <w:pPr>
        <w:rPr>
          <w:sz w:val="20"/>
          <w:szCs w:val="20"/>
        </w:rPr>
      </w:pPr>
      <w:bookmarkStart w:id="0" w:name="_GoBack"/>
      <w:bookmarkEnd w:id="0"/>
    </w:p>
    <w:p w:rsidR="00E00788" w:rsidRPr="00956BE1" w:rsidRDefault="00956BE1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</w:t>
      </w:r>
      <w:r w:rsidR="00E00788"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дминистративный регламент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Административный  регламент  предоставления 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 Административный регламент) «</w:t>
      </w:r>
      <w:r w:rsidR="00956BE1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адресации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   -   муниципальная   услуга)  устанавливает  порядок  и  стандарт предоставления  муниципальной  услуги,  в  том  числе  определяет сроки и последовательность административных процедур (действий) органа местного самоуправления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</w:t>
      </w:r>
      <w:r w:rsidR="004D3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муниципального образования Старомукменевский </w:t>
      </w:r>
      <w:r w:rsid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орган местного самоуправления), осуществляемых  по  запросу  физического  или  юридического  лица  либо  их уполномоченных  представителей  (далее  - заявитель) в пределах полномочий, установленных   нормативными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правовыми  актами  Российской  Федерации,  в соответствии  с  требованиями  Федерального  </w:t>
      </w:r>
      <w:hyperlink r:id="rId7" w:history="1">
        <w:r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закона</w:t>
        </w:r>
      </w:hyperlink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  27  июля 2010 года    №  210-ФЗ  «Об  организации  предоставления государственных и муниципальных услуг» (далее – закон № 210-ФЗ).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A94235" w:rsidRPr="00A9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Старомукменевский</w:t>
      </w:r>
      <w:r w:rsidRPr="007647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 (функций)» (www.gosuslugi.ru) (далее - Портал).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предназначенных для предоставления муниципальной услуги, а также предоставляется в электронной форме через Портал.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«Присвоение, изменение и аннулирование адресов объектов адресации». 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40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Муниципальная услуга</w:t>
      </w:r>
      <w:bookmarkEnd w:id="1"/>
      <w:r w:rsidR="00E00788" w:rsidRPr="00956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</w:t>
      </w:r>
      <w:r w:rsidRPr="00A9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A94235" w:rsidRPr="00A94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Старомукменевский</w:t>
      </w:r>
      <w:r w:rsidRPr="00A9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муниципальный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 присвоении адреса объекту адресации (отказ в присвоении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изменении адреса</w:t>
      </w:r>
      <w:r w:rsidR="0019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адресации (отказ в изменении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объекту адресации);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  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технических средствах, а также возможность направления такого электронного документа в иные органы (организации).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10 рабочих дней со дня поступления заявления в орган местного самоуправления.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услуги: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- не позднее 1-го рабочего дня со дня истечения срока, установленного  абзацем первым  настоящего пункта Административного регламента;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- не позднее рабочего дня, следующего за 10-м рабочим 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E00788" w:rsidRPr="00956BE1" w:rsidRDefault="00956BE1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 настоящего пункта Административного регламента.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регулирующие предоставление муниципальной услуги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0852" w:rsidRPr="007D08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stmukss</w:t>
      </w:r>
      <w:proofErr w:type="spellEnd"/>
      <w:r w:rsidR="007D0852" w:rsidRPr="007D0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D0852" w:rsidRPr="007D08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7D0852" w:rsidRPr="007D08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и обязательных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предоставляются: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форме, согласно приложению № 1 к Административному регламенту.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представить документы следующими способами: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личного обращения;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почтовым отправлением;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через МФЦ;                   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электронном виде через Портал, портал  адресной системы.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8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законодательством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МФЦ, либо в орган местного самоуправления.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00788" w:rsidRPr="00956BE1" w:rsidRDefault="007647E7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157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076C" w:rsidRDefault="000F076C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00788" w:rsidRPr="00E24499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9" w:history="1">
        <w:r w:rsidR="00E00788" w:rsidRPr="00E2449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правилах</w:t>
        </w:r>
      </w:hyperlink>
      <w:r w:rsidR="00E00788" w:rsidRPr="00E2449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 1221).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Правоустанавливающие (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 изменении и аннулировании адресов объектам адресации.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 </w:t>
      </w:r>
      <w:hyperlink r:id="rId10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210-ФЗ;</w:t>
      </w:r>
      <w:proofErr w:type="gramEnd"/>
    </w:p>
    <w:p w:rsidR="00E00788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1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пунктом 4 части 1 статьи 7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№ 210-ФЗ.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226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оформление заявления не по форме, установленной в приложении № 1 к Административному регламенту»;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 неполный перечень документов, указанных в пункте 14 Административного регламента;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Основания для приостановления предоставления муниципальной услуги отсутствуют.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Основания для отказа в предоставлении муниципальной услуги: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  заявление о предоставлении муниципальной услуги и документы поданы в соответствии с информацией о сроках и порядке предоставления  муниципальной услуги, опубликованной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услуг, которые являются необходимыми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сведения о документе (документах),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выдаваемом (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организациями, участвующими в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услуги, которые являются необходимыми и обязательными для предоставления муниципальной услуги, не предусмотрены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 платы, взимаемой за предоставление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Муниципальная услуга предоставляется без взимания платы.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Услуги, 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а) ознакомления с режимом работы МФЦ, а также с доступными для записи на прием датами и интервалами времени приема;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б) записи в любые свободные для приема дату и время в пределах установленного в МФЦ графика приема заявителей.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предоставлении муниципальной услуги и услуги,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предоставляемой организацией,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участвующей в предоставлении муниципальной услуги,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предоставляется государственная услуга,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услуги, информационным стендам, необходимым</w:t>
      </w:r>
      <w:r w:rsid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муниципальной услуги, в том числе к обеспечению 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 для инвалидов указанных объектов</w:t>
      </w:r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Прием заявителей должен осуществляться в специально выделенном для этих целей помещении.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муниципальной услуги </w:t>
      </w:r>
    </w:p>
    <w:p w:rsid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количество взаимодействий заявителя </w:t>
      </w:r>
      <w:proofErr w:type="gramStart"/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E00788" w:rsidRPr="000F076C" w:rsidRDefault="00E00788" w:rsidP="000F0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должностными лицами при предоставлении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15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 </w:t>
      </w:r>
      <w:bookmarkEnd w:id="4"/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3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0F0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</w:t>
      </w:r>
      <w:bookmarkEnd w:id="5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соблюдение стандарта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00788" w:rsidRPr="00956BE1" w:rsidRDefault="000F076C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5C582E" w:rsidRPr="00E24499" w:rsidRDefault="00E00788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5C582E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требования, в том числе учитывающие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особенности предоставления муниципальной услуги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экстерриториальному принципу и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предоставления муниципальной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(пункт 31 Правил №1221).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37.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</w:t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электронным документам, предоставляемым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для получения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ЭП (файл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документы в электронном виде подписываются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административных процедур (действий), требования к порядку 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выполнения, в том числе особенности выполнения</w:t>
      </w:r>
    </w:p>
    <w:p w:rsidR="00E00788" w:rsidRPr="00956BE1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в электронной форме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Предоставление муниципальной услуги включает в себя выполнение следующих административных процедур: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440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  <w:bookmarkEnd w:id="6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440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направление межведомственного запроса;</w:t>
      </w:r>
      <w:bookmarkEnd w:id="7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440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bookmarkEnd w:id="9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0" w:name="sub_440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  <w:bookmarkEnd w:id="10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При предоставлении муниципальной услуги в электронной форме осуществляется: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орган местного самоуправления, МФЦ для подачи запроса о предоставлении услуги (далее - запрос);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 заявления и документов, их регистрация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Основанием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15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 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Уполномоченное должностное лицо, ответственное за прием и регистрацию заявления о предоставлении муниципальной услуги и документов, осуществляет проверку на наличие документов, указанных в пункте 14 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Результатом выполнения административной процедуры является: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заявителю отказа в приеме заявления по основаниям, указанным в пункте 19 Административного регламента и регистрационная запись о дате и времени направления такого решения   в журнале по форме, согласно приложению № 2 Административного регламента.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E00788" w:rsidRPr="00E24499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должностным лицом направляется в порядке межведомственного информационного взаимодействия запросы в следующие органы (организации):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Управление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Росреестра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правоустанавливающие и (или)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правилах № 1221).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Архитектурно-строительный отдел 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администрациимуниципального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«</w:t>
      </w:r>
      <w:proofErr w:type="spellStart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Асекеевский</w:t>
      </w:r>
      <w:proofErr w:type="spellEnd"/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4499" w:rsidRPr="00E24499" w:rsidRDefault="00E24499" w:rsidP="00E24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ации).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муниципальной услуги.</w:t>
      </w:r>
    </w:p>
    <w:p w:rsidR="00012906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00788" w:rsidRPr="00012906" w:rsidRDefault="00E00788" w:rsidP="00012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bookmarkStart w:id="11" w:name="sub_4056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  <w:bookmarkEnd w:id="11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sub_405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55. Время выполнения административной процедуры 10 дней </w:t>
      </w:r>
      <w:proofErr w:type="gramStart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подписания</w:t>
      </w:r>
      <w:proofErr w:type="gramEnd"/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ответа уполномоченным лицом органа исполнительной власти.</w:t>
      </w:r>
      <w:bookmarkEnd w:id="12"/>
    </w:p>
    <w:p w:rsidR="00E00788" w:rsidRPr="005C582E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sub_405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00788" w:rsidRPr="005C5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Результатом административной процедуры является выдача заявителю результата предоставления муниципальной услуги.</w:t>
      </w:r>
      <w:bookmarkEnd w:id="13"/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документы готовятся в формате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решения, указанного в пункте 52 Административного регламента.</w:t>
      </w:r>
    </w:p>
    <w:p w:rsidR="00E00788" w:rsidRPr="00956BE1" w:rsidRDefault="005C582E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передачу документа в МФЦ для выдачи заявителю не позднее рабочего дня, следующего за днем принятия решения, указанного в пункте 52 Административного регламента.</w:t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385"/>
      <w:bookmarkEnd w:id="14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5C582E" w:rsidRDefault="00E00788" w:rsidP="005C5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5C5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Текущий 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порядок и формы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ее предоставления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заинтересованных лиц об их праве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досудебное (внесудебное) обжалование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</w:t>
      </w:r>
      <w:proofErr w:type="gramEnd"/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 заявителя в досудебном (внесудебном) порядке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актов, регулирующих порядок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 органа местного самоуправления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Оренбургской области, а также его должностных лиц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Федеральный </w:t>
      </w:r>
      <w:hyperlink r:id="rId12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 июля 2010 года № 210-ФЗ «Об организации предоставления государственных и муниципальных услуг»;</w:t>
      </w:r>
    </w:p>
    <w:p w:rsidR="00E00788" w:rsidRPr="00956BE1" w:rsidRDefault="0099205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/document/27537955/entry/0" w:history="1">
        <w:proofErr w:type="gramStart"/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постановление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="00E00788" w:rsidRPr="00956BE1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частью 1.1 статьи 16</w:t>
        </w:r>
      </w:hyperlink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00788" w:rsidRPr="007F67E2" w:rsidRDefault="00E00788" w:rsidP="007F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прием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проверяет наличие документа, подтверждающего оплату госпошлины, и других платежных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распечатывает бланк заявления и предлагает заявителю собственноручно заполнить его;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проверяет полноту оформления заявления;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принимает заявление;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МФЦ, осуществляющий выдачу документов: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7F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499" w:rsidRPr="00956BE1" w:rsidRDefault="00E24499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7F67E2" w:rsidRDefault="002E07E6" w:rsidP="002E07E6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E24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F67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 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E24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заявления о присвоении объекту адресации адреса или аннулировании его адреса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CellSpacing w:w="0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5"/>
        <w:gridCol w:w="1930"/>
        <w:gridCol w:w="2007"/>
      </w:tblGrid>
      <w:tr w:rsidR="00E00788" w:rsidRPr="00956BE1" w:rsidTr="007F67E2">
        <w:trPr>
          <w:tblCellSpacing w:w="0" w:type="dxa"/>
        </w:trPr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165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70"/>
        <w:gridCol w:w="1900"/>
        <w:gridCol w:w="565"/>
        <w:gridCol w:w="847"/>
        <w:gridCol w:w="1268"/>
        <w:gridCol w:w="1400"/>
        <w:gridCol w:w="701"/>
        <w:gridCol w:w="300"/>
        <w:gridCol w:w="1557"/>
        <w:gridCol w:w="179"/>
        <w:gridCol w:w="295"/>
      </w:tblGrid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0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0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3.1</w:t>
            </w:r>
            <w:bookmarkEnd w:id="16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0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3.2</w:t>
            </w:r>
            <w:bookmarkEnd w:id="17"/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1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16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11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  <w:bookmarkEnd w:id="18"/>
    </w:p>
    <w:tbl>
      <w:tblPr>
        <w:tblpPr w:leftFromText="180" w:rightFromText="180" w:vertAnchor="text" w:horzAnchor="margin" w:tblpXSpec="center" w:tblpY="105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34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309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1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18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9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222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  <w:bookmarkEnd w:id="19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2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2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22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2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24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333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*(3) Строка дублируется для каждого разделенного помещения</w:t>
      </w:r>
      <w:bookmarkEnd w:id="20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444"/>
      <w:r w:rsidRPr="00956BE1"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  <w:t>*(4) Строка дублируется для каждого объединенного помещения</w:t>
      </w:r>
      <w:bookmarkEnd w:id="21"/>
    </w:p>
    <w:tbl>
      <w:tblPr>
        <w:tblW w:w="10725" w:type="dxa"/>
        <w:tblCellSpacing w:w="0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620"/>
        <w:gridCol w:w="417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</w:t>
            </w:r>
            <w:hyperlink r:id="rId25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</w:t>
            </w:r>
            <w:hyperlink r:id="rId26" w:anchor="sub_111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695"/>
        <w:gridCol w:w="2415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4590"/>
        <w:gridCol w:w="4110"/>
      </w:tblGrid>
      <w:tr w:rsidR="00E00788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r:id="rId27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r:id="rId28" w:anchor="sub_222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строительства (реконструкции)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проектной документацией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29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tbl>
      <w:tblPr>
        <w:tblpPr w:leftFromText="180" w:rightFromText="180" w:vertAnchor="text" w:horzAnchor="margin" w:tblpXSpec="center" w:tblpY="150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1845"/>
        <w:gridCol w:w="2265"/>
      </w:tblGrid>
      <w:tr w:rsidR="007F67E2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0"/>
        <w:gridCol w:w="975"/>
        <w:gridCol w:w="1860"/>
        <w:gridCol w:w="1845"/>
        <w:gridCol w:w="240"/>
        <w:gridCol w:w="3300"/>
        <w:gridCol w:w="570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r:id="rId30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  <w:hyperlink r:id="rId31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  <w:hyperlink r:id="rId32" w:anchor="sub_333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r:id="rId33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</w:t>
            </w:r>
            <w:hyperlink r:id="rId34" w:anchor="sub_444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845"/>
        <w:gridCol w:w="2130"/>
      </w:tblGrid>
      <w:tr w:rsidR="00E00788" w:rsidRPr="00956BE1" w:rsidTr="007F67E2">
        <w:trPr>
          <w:tblCellSpacing w:w="0" w:type="dxa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4680"/>
        <w:gridCol w:w="4245"/>
      </w:tblGrid>
      <w:tr w:rsidR="00E00788" w:rsidRPr="00956BE1" w:rsidTr="00E0078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04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3.</w:t>
            </w:r>
            <w:bookmarkEnd w:id="22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 </w:t>
            </w:r>
            <w:hyperlink r:id="rId35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пунктах 1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6" w:history="1">
              <w:r w:rsidRPr="00956BE1">
                <w:rPr>
                  <w:rFonts w:ascii="Times New Roman" w:eastAsia="Times New Roman" w:hAnsi="Times New Roman" w:cs="Times New Roman"/>
                  <w:color w:val="0000AA"/>
                  <w:sz w:val="24"/>
                  <w:szCs w:val="24"/>
                  <w:u w:val="single"/>
                  <w:lang w:eastAsia="ru-RU"/>
                </w:rPr>
                <w:t>3 части 2 статьи 27</w:t>
              </w:r>
            </w:hyperlink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E0078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5"/>
        <w:gridCol w:w="2130"/>
        <w:gridCol w:w="2130"/>
      </w:tblGrid>
      <w:tr w:rsidR="00E00788" w:rsidRPr="00956BE1" w:rsidTr="007F67E2">
        <w:trPr>
          <w:tblCellSpacing w:w="0" w:type="dxa"/>
        </w:trPr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28"/>
        <w:gridCol w:w="728"/>
        <w:gridCol w:w="796"/>
        <w:gridCol w:w="705"/>
        <w:gridCol w:w="1048"/>
        <w:gridCol w:w="1666"/>
        <w:gridCol w:w="985"/>
        <w:gridCol w:w="570"/>
        <w:gridCol w:w="2671"/>
      </w:tblGrid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05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4</w:t>
            </w:r>
            <w:bookmarkEnd w:id="23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(для иностранного юридического </w:t>
            </w: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лица):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2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006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5</w:t>
            </w:r>
            <w:bookmarkEnd w:id="24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07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6</w:t>
            </w:r>
            <w:bookmarkEnd w:id="25"/>
          </w:p>
        </w:tc>
        <w:tc>
          <w:tcPr>
            <w:tcW w:w="98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1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83"/>
        <w:gridCol w:w="2554"/>
      </w:tblGrid>
      <w:tr w:rsidR="00E00788" w:rsidRPr="00956BE1" w:rsidTr="007F67E2">
        <w:trPr>
          <w:tblCellSpacing w:w="0" w:type="dxa"/>
        </w:trPr>
        <w:tc>
          <w:tcPr>
            <w:tcW w:w="6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35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2"/>
        <w:gridCol w:w="852"/>
        <w:gridCol w:w="1979"/>
        <w:gridCol w:w="1710"/>
        <w:gridCol w:w="135"/>
        <w:gridCol w:w="420"/>
        <w:gridCol w:w="1274"/>
        <w:gridCol w:w="2560"/>
      </w:tblGrid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08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7</w:t>
            </w:r>
            <w:bookmarkEnd w:id="26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3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09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8</w:t>
            </w:r>
            <w:bookmarkEnd w:id="27"/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788" w:rsidRPr="00956BE1" w:rsidTr="007F67E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06" w:type="dxa"/>
        <w:tblCellSpacing w:w="0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1770"/>
        <w:gridCol w:w="2522"/>
      </w:tblGrid>
      <w:tr w:rsidR="00E00788" w:rsidRPr="00956BE1" w:rsidTr="007F67E2">
        <w:trPr>
          <w:tblCellSpacing w:w="0" w:type="dxa"/>
        </w:trPr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788" w:rsidRPr="00956BE1" w:rsidRDefault="00E00788" w:rsidP="0095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tbl>
      <w:tblPr>
        <w:tblpPr w:leftFromText="180" w:rightFromText="180" w:vertAnchor="text" w:horzAnchor="margin" w:tblpXSpec="center" w:tblpY="291"/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975"/>
        <w:gridCol w:w="1485"/>
        <w:gridCol w:w="4245"/>
      </w:tblGrid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010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11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12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12</w:t>
            </w:r>
            <w:bookmarkEnd w:id="30"/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E2" w:rsidRPr="00956BE1" w:rsidTr="007F67E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13"/>
            <w:r w:rsidRPr="00956BE1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lang w:eastAsia="ru-RU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7E2" w:rsidRPr="00956BE1" w:rsidTr="007F67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67E2" w:rsidRPr="00956BE1" w:rsidRDefault="007F67E2" w:rsidP="007F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111"/>
      <w:r w:rsidRPr="00956BE1">
        <w:rPr>
          <w:rFonts w:ascii="Times New Roman" w:eastAsia="Times New Roman" w:hAnsi="Times New Roman" w:cs="Times New Roman"/>
          <w:bCs/>
          <w:color w:val="0000AA"/>
          <w:sz w:val="24"/>
          <w:szCs w:val="24"/>
          <w:lang w:eastAsia="ru-RU"/>
        </w:rPr>
        <w:t>Примечание</w:t>
      </w:r>
      <w:bookmarkEnd w:id="32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┌───┐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│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└───┘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документы прошу выдать мне/представителю (при наличии доверенности):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лично, почтовым отправлением по адресу:_____________________________________________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электронной форме (посредством направления в личный кабинет инт</w:t>
      </w:r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ернет-портала </w:t>
      </w:r>
      <w:hyperlink r:id="rId37" w:history="1">
        <w:r w:rsidR="007F67E2" w:rsidRPr="00E867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7F6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proofErr w:type="gramEnd"/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(если имеется)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(наименование иностранного государства)</w:t>
      </w:r>
    </w:p>
    <w:p w:rsidR="00E00788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РФ: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серия, номер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подразделения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 - ______________________________________________________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срока действия - 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30"/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ДА/НЕТ (</w:t>
      </w:r>
      <w:proofErr w:type="gramStart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7E2" w:rsidRPr="00956BE1" w:rsidRDefault="007F67E2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00788" w:rsidRPr="00956BE1" w:rsidRDefault="007F67E2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00788"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Журнал регистрации заявлений о предоставлении муниципальной услуги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«Присвоение, изменение и аннулирование адресов объектов адресации»</w:t>
      </w: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788" w:rsidRPr="00956BE1" w:rsidRDefault="00E00788" w:rsidP="007F6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550"/>
        <w:tblW w:w="116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08"/>
        <w:gridCol w:w="793"/>
        <w:gridCol w:w="1984"/>
        <w:gridCol w:w="993"/>
        <w:gridCol w:w="1559"/>
        <w:gridCol w:w="1559"/>
        <w:gridCol w:w="2268"/>
        <w:gridCol w:w="1295"/>
      </w:tblGrid>
      <w:tr w:rsidR="00861435" w:rsidRPr="007F67E2" w:rsidTr="00861435">
        <w:trPr>
          <w:trHeight w:val="1282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и дата входящего документа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 </w:t>
            </w: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и инициалы  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объекта адресации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получения заявителем решения уполномоченного органа  о присвоении объекту адресации адреса или аннулировании его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 лица (при личном получении), получившего  решение уполномоченного органа  о присвоении объекту адресации адреса или аннулировании его адреса</w:t>
            </w:r>
          </w:p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861435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614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35" w:rsidRPr="00956BE1" w:rsidTr="00861435">
        <w:trPr>
          <w:trHeight w:val="283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435" w:rsidRPr="00956BE1" w:rsidRDefault="00861435" w:rsidP="00861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0788" w:rsidRPr="00956BE1" w:rsidRDefault="00E00788" w:rsidP="00956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568" w:rsidRPr="00956BE1" w:rsidRDefault="001F4568" w:rsidP="00956B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568" w:rsidRPr="00956BE1" w:rsidSect="00C763EC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1"/>
    <w:rsid w:val="00012906"/>
    <w:rsid w:val="000F076C"/>
    <w:rsid w:val="001968FC"/>
    <w:rsid w:val="001F4568"/>
    <w:rsid w:val="002E07E6"/>
    <w:rsid w:val="003B46C5"/>
    <w:rsid w:val="004D3DE4"/>
    <w:rsid w:val="00570896"/>
    <w:rsid w:val="005C582E"/>
    <w:rsid w:val="007647E7"/>
    <w:rsid w:val="007D0852"/>
    <w:rsid w:val="007F67E2"/>
    <w:rsid w:val="00861435"/>
    <w:rsid w:val="00931951"/>
    <w:rsid w:val="00956BE1"/>
    <w:rsid w:val="00992059"/>
    <w:rsid w:val="00A94235"/>
    <w:rsid w:val="00C763EC"/>
    <w:rsid w:val="00E00788"/>
    <w:rsid w:val="00E2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763E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763E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C763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763E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21">
    <w:name w:val="Основной текст 21"/>
    <w:basedOn w:val="a"/>
    <w:rsid w:val="00C763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нак Знак Знак Знак Знак Знак Знак"/>
    <w:basedOn w:val="a"/>
    <w:rsid w:val="00C763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763E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763E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788"/>
  </w:style>
  <w:style w:type="paragraph" w:customStyle="1" w:styleId="consplustitle">
    <w:name w:val="consplustitle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7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8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07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6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6"/>
    <w:rPr>
      <w:rFonts w:ascii="Calibri" w:hAnsi="Calibri" w:cs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C763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763E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21">
    <w:name w:val="Основной текст 21"/>
    <w:basedOn w:val="a"/>
    <w:rsid w:val="00C763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Знак Знак Знак Знак Знак Знак Знак"/>
    <w:basedOn w:val="a"/>
    <w:rsid w:val="00C763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7" Type="http://schemas.openxmlformats.org/officeDocument/2006/relationships/hyperlink" Target="consultantplus://offline/ref=32D0BE91EB81514C2939F20B2E129A304FA48F38A4FE500CFB3E4C4DED283B71A4F51EA659E844846D0779FD65N6zDE" TargetMode="Externa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9" Type="http://schemas.openxmlformats.org/officeDocument/2006/relationships/hyperlink" Target="garantf1://12038258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4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7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3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8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6" Type="http://schemas.openxmlformats.org/officeDocument/2006/relationships/hyperlink" Target="garantf1://57307604.27023" TargetMode="Externa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2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27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0" Type="http://schemas.openxmlformats.org/officeDocument/2006/relationships/hyperlink" Target="file:///C:\Users\PodyachayaKE\Downloads\%D0%9F%D1%80%D0%B8%D1%81%D0%B2%D0%BE%D0%B5%D0%BD%D0%B8%D0%B5,%20%D0%B8%D0%B7%D0%BC%D0%B5%D0%BD%D0%B5%D0%BD%D0%B8%D0%B5%20%D0%B8%20%D0%B0%D0%BD%D0%BD%D1%83%D0%BB%D0%B8%D1%80%D0%BE%D0%B2%D0%B0%D0%BD%D0%B8%D0%B5%20%D0%B0%D0%B4%D1%80%D0%B5%D1%81%D0%BE%D0%B2%20%D0%BE%D0%B1%D1%8A%D0%B5%D0%BA%D1%82%D0%BE%D0%B2%20%D0%B0%D0%B4%D1%80%D0%B5%D1%81%D0%B0%D1%86%D0%B8%D0%B8.docx" TargetMode="External"/><Relationship Id="rId35" Type="http://schemas.openxmlformats.org/officeDocument/2006/relationships/hyperlink" Target="garantf1://57307604.27021" TargetMode="External"/><Relationship Id="rId8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12992</Words>
  <Characters>74056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2021-12-10T09:07:00Z</cp:lastPrinted>
  <dcterms:created xsi:type="dcterms:W3CDTF">2021-12-20T07:09:00Z</dcterms:created>
  <dcterms:modified xsi:type="dcterms:W3CDTF">2021-12-20T07:15:00Z</dcterms:modified>
</cp:coreProperties>
</file>